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609BF3A1" w:rsidR="003E5087" w:rsidRPr="006E56A9" w:rsidRDefault="00396752" w:rsidP="00D950DE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proofErr w:type="spellStart"/>
            <w:r w:rsidRPr="006E56A9">
              <w:rPr>
                <w:rFonts w:asciiTheme="minorHAnsi" w:hAnsiTheme="minorHAnsi" w:cstheme="minorHAnsi"/>
              </w:rPr>
              <w:t>Prática</w:t>
            </w:r>
            <w:proofErr w:type="spellEnd"/>
            <w:r w:rsidRPr="006E56A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E56A9">
              <w:rPr>
                <w:rFonts w:asciiTheme="minorHAnsi" w:hAnsiTheme="minorHAnsi" w:cstheme="minorHAnsi"/>
              </w:rPr>
              <w:t>Tradução</w:t>
            </w:r>
            <w:proofErr w:type="spellEnd"/>
            <w:r w:rsidRPr="006E56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6A9">
              <w:rPr>
                <w:rFonts w:asciiTheme="minorHAnsi" w:hAnsiTheme="minorHAnsi" w:cstheme="minorHAnsi"/>
              </w:rPr>
              <w:t>Literária</w:t>
            </w:r>
            <w:proofErr w:type="spellEnd"/>
            <w:r w:rsidRPr="006E56A9">
              <w:rPr>
                <w:rFonts w:asciiTheme="minorHAnsi" w:hAnsiTheme="minorHAnsi" w:cstheme="minorHAnsi"/>
              </w:rPr>
              <w:t xml:space="preserve"> </w:t>
            </w:r>
            <w:r w:rsidR="00D950DE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D950DE">
              <w:rPr>
                <w:rFonts w:asciiTheme="minorHAnsi" w:hAnsiTheme="minorHAnsi" w:cstheme="minorHAnsi"/>
              </w:rPr>
              <w:t>Francês</w:t>
            </w:r>
            <w:proofErr w:type="spellEnd"/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58337F39" w:rsidR="003E5087" w:rsidRPr="00147834" w:rsidRDefault="00D950DE" w:rsidP="0057761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87071</w:t>
            </w:r>
            <w:bookmarkStart w:id="0" w:name="_GoBack"/>
            <w:bookmarkEnd w:id="0"/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705E6253" w:rsidR="00CF7131" w:rsidRPr="00271F7F" w:rsidRDefault="00147834" w:rsidP="00147834">
            <w:pPr>
              <w:pStyle w:val="Body1"/>
              <w:tabs>
                <w:tab w:val="left" w:pos="284"/>
              </w:tabs>
              <w:spacing w:after="0" w:line="240" w:lineRule="auto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6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370F8A32" w:rsidR="003E5087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 Licenciatura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2EEE25DA" w:rsidR="00CF7131" w:rsidRPr="00271F7F" w:rsidRDefault="00577611" w:rsidP="00D503C6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S2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9F1FB9B" w14:textId="77777777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Maria Helena Marques Antunes</w:t>
            </w:r>
          </w:p>
          <w:p w14:paraId="5BF651AF" w14:textId="01E9C740" w:rsidR="00147834" w:rsidRPr="00271F7F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1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57BC8E6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Francês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1D03F1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1D03F1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1D03F1">
              <w:rPr>
                <w:rFonts w:asciiTheme="minorHAnsi" w:hAnsiTheme="minorHAnsi" w:cstheme="minorHAnsi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1D03F1">
              <w:rPr>
                <w:rFonts w:asciiTheme="minorHAnsi" w:hAnsiTheme="minorHAnsi" w:cstheme="minorHAnsi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6792F4B9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visa 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desenvolvimento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seguintes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BC35120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Desenvolver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bases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teóricas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promover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reflexão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0BEC06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Consolidar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espírito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crítico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reflexivo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línguas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estudo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numa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perspetiva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comparativa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76A933F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Analisar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propostas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diversos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géneros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7E9FB565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Explorar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métodos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técnicas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estudos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caso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FFED7E8" w14:textId="77777777" w:rsidR="00396752" w:rsidRPr="00396752" w:rsidRDefault="00396752" w:rsidP="00396752">
            <w:pPr>
              <w:pStyle w:val="Default"/>
              <w:numPr>
                <w:ilvl w:val="0"/>
                <w:numId w:val="5"/>
              </w:numPr>
              <w:spacing w:after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Identificar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problemas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explicar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suas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ocorrências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41CEB78" w14:textId="77777777" w:rsidR="00CF7131" w:rsidRPr="00396752" w:rsidRDefault="00396752" w:rsidP="0039675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color w:val="1F4E79" w:themeColor="accent5" w:themeShade="80"/>
              </w:rPr>
            </w:pPr>
            <w:r w:rsidRPr="00396752">
              <w:rPr>
                <w:rFonts w:cstheme="minorHAnsi"/>
              </w:rPr>
              <w:t>Explorar abordagens plurais na experiência de tradução.</w:t>
            </w:r>
          </w:p>
          <w:p w14:paraId="71DB3E81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Francês-Português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) visa 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aquisição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seguintes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conteúdos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F9D526" w14:textId="77777777" w:rsidR="00396752" w:rsidRPr="00396752" w:rsidRDefault="00396752" w:rsidP="0039675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especificidade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contexto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72D710" w14:textId="77777777" w:rsidR="00396752" w:rsidRPr="00396752" w:rsidRDefault="00396752" w:rsidP="0039675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expressão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mediação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cultural;</w:t>
            </w:r>
          </w:p>
          <w:p w14:paraId="61B16CDC" w14:textId="77777777" w:rsidR="00396752" w:rsidRPr="00396752" w:rsidRDefault="00396752" w:rsidP="0039675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papel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mundo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globalizado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as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suas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implicações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éticas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EAA21EA" w14:textId="77777777" w:rsidR="00396752" w:rsidRPr="00396752" w:rsidRDefault="00396752" w:rsidP="0039675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qualidade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textos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traduzidos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numa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perspetiva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teórica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0FE400BA" w14:textId="77777777" w:rsidR="00396752" w:rsidRPr="00396752" w:rsidRDefault="00396752" w:rsidP="0039675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estatuto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tradutor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: da (re)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escrita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criação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BB80738" w14:textId="38FC96A5" w:rsidR="00396752" w:rsidRPr="00396752" w:rsidRDefault="00396752" w:rsidP="0039675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1F4E79" w:themeColor="accent5" w:themeShade="80"/>
              </w:rPr>
            </w:pPr>
            <w:r w:rsidRPr="00396752">
              <w:rPr>
                <w:rFonts w:cstheme="minorHAnsi"/>
              </w:rPr>
              <w:t>Problemas específicos da tradução de textos literários de francês para português.</w:t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1B2EE5A1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parâmetros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seguintes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2C0C74" w14:textId="77777777" w:rsidR="00396752" w:rsidRPr="00396752" w:rsidRDefault="00396752" w:rsidP="00396752">
            <w:pPr>
              <w:pStyle w:val="Default"/>
              <w:numPr>
                <w:ilvl w:val="0"/>
                <w:numId w:val="4"/>
              </w:numPr>
              <w:spacing w:after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Assiduidade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participação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atividades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1E6BC78" w14:textId="77777777" w:rsidR="00396752" w:rsidRPr="00396752" w:rsidRDefault="00396752" w:rsidP="00396752">
            <w:pPr>
              <w:pStyle w:val="Default"/>
              <w:numPr>
                <w:ilvl w:val="0"/>
                <w:numId w:val="4"/>
              </w:numPr>
              <w:spacing w:after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Um teste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escrito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(20%):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aspetos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teóricos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práticos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3099D5A" w14:textId="4BD92B06" w:rsidR="00CF7131" w:rsidRPr="00F56A70" w:rsidRDefault="00396752" w:rsidP="0039675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lang w:val="fr-FR"/>
              </w:rPr>
            </w:pPr>
            <w:r w:rsidRPr="00396752">
              <w:rPr>
                <w:rFonts w:cstheme="minorHAnsi"/>
              </w:rPr>
              <w:t>Um projeto de tradução (80%)</w:t>
            </w: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396752">
        <w:tc>
          <w:tcPr>
            <w:tcW w:w="5000" w:type="pct"/>
            <w:shd w:val="clear" w:color="auto" w:fill="D9E2F3" w:themeFill="accent1" w:themeFillTint="33"/>
          </w:tcPr>
          <w:p w14:paraId="5EA2C9FD" w14:textId="77777777" w:rsidR="00396752" w:rsidRPr="00396752" w:rsidRDefault="00396752" w:rsidP="00396752">
            <w:pPr>
              <w:pStyle w:val="Default"/>
              <w:numPr>
                <w:ilvl w:val="0"/>
                <w:numId w:val="10"/>
              </w:num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OBRAS TEÓRICAS </w:t>
            </w:r>
          </w:p>
          <w:p w14:paraId="262BC6A7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BALLARD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 M. (1984). 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La traduction de la théorie à la didactique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Lille : Presses universitaires de Lille.</w:t>
            </w:r>
          </w:p>
          <w:p w14:paraId="7870C30A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BERMAN, A et al. (1985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). Les Tours de Babel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Mauvezin : Trans-Europ-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Repress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14:paraId="18F756B0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CORDONNIER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 J.L.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(1995).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Traduction et Culture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Hatier-Didier.</w:t>
            </w:r>
          </w:p>
          <w:p w14:paraId="63C561BF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ECO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U.  (2007).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Dire presque la même chose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Expériences de traduction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 (Tr.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Myriem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Bouzaher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). </w:t>
            </w:r>
            <w:proofErr w:type="gram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Paris :</w:t>
            </w:r>
            <w:proofErr w:type="gram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Grasset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643C4FD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FROTA, M.P. (2000). A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singularidade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escrita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tradutora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, [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linguagem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subjetividade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nos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estudos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linguística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psicanálise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Campinas: Pontes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Editores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E8E745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LADMIRAL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J.-R. (1979)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Traduire : théorèmes pour la traduction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Payot.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51FCEEDF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LARBAUD</w:t>
            </w: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V. (1984).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BE"/>
              </w:rPr>
              <w:t>De la traduction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BE"/>
              </w:rPr>
              <w:t xml:space="preserve">. 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 xml:space="preserve">Arles: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Actes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Sud</w:t>
            </w:r>
            <w:proofErr w:type="spellEnd"/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</w:rPr>
              <w:t>.</w:t>
            </w:r>
          </w:p>
          <w:p w14:paraId="09F325BF" w14:textId="77777777" w:rsidR="00396752" w:rsidRPr="00396752" w:rsidRDefault="00396752" w:rsidP="00396752">
            <w:pPr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MESCHONNIC,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H. (1999). </w:t>
            </w:r>
            <w:r w:rsidRPr="00396752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Poétique du traduire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, Paris : Verdier.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4FFBBD45" w14:textId="27EF0DC8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MOUNIN</w:t>
            </w: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G. (1964) </w:t>
            </w:r>
            <w:r w:rsidRPr="0027181B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Les problèmes théoriques de la traduction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Gallimard</w:t>
            </w:r>
            <w:r w:rsid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</w:t>
            </w:r>
          </w:p>
          <w:p w14:paraId="0798D257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OSEKI-DÉPRÉ, I. (2006).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Théories et pratiques de la traduction littéraire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Paris : Armand Colin. </w:t>
            </w:r>
          </w:p>
          <w:p w14:paraId="0CCA1805" w14:textId="77777777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PERGNIER</w:t>
            </w:r>
            <w:r w:rsidRPr="0027181B">
              <w:rPr>
                <w:rStyle w:val="Forte"/>
                <w:rFonts w:asciiTheme="minorHAnsi" w:hAnsiTheme="minorHAnsi" w:cstheme="minorHAnsi"/>
                <w:b w:val="0"/>
                <w:color w:val="000000"/>
                <w:spacing w:val="27"/>
                <w:sz w:val="22"/>
                <w:szCs w:val="22"/>
                <w:shd w:val="clear" w:color="auto" w:fill="D9E2F3" w:themeFill="accent1" w:themeFillTint="33"/>
                <w:lang w:val="fr-FR"/>
              </w:rPr>
              <w:t>, M. (1978).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 </w:t>
            </w:r>
            <w:r w:rsidRPr="0027181B">
              <w:rPr>
                <w:rStyle w:val="nfas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Les Fondements sociolinguistiques de la traduction</w:t>
            </w:r>
            <w:r w:rsidRPr="0027181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E2F3" w:themeFill="accent1" w:themeFillTint="33"/>
                <w:lang w:val="fr-FR"/>
              </w:rPr>
              <w:t>. Paris : Champion.</w:t>
            </w:r>
            <w:r w:rsidRPr="00396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40082513" w14:textId="77777777" w:rsidR="00396752" w:rsidRPr="00396752" w:rsidRDefault="00396752" w:rsidP="00396752">
            <w:pPr>
              <w:pStyle w:val="PargrafodaLista"/>
              <w:numPr>
                <w:ilvl w:val="0"/>
                <w:numId w:val="10"/>
              </w:numPr>
              <w:shd w:val="clear" w:color="auto" w:fill="D9E2F3" w:themeFill="accent1" w:themeFillTint="33"/>
              <w:spacing w:line="256" w:lineRule="auto"/>
              <w:jc w:val="both"/>
              <w:rPr>
                <w:rStyle w:val="petitecap"/>
                <w:rFonts w:cstheme="minorHAnsi"/>
                <w:bCs/>
              </w:rPr>
            </w:pPr>
            <w:r w:rsidRPr="00396752">
              <w:rPr>
                <w:rFonts w:cstheme="minorHAnsi"/>
                <w:bCs/>
                <w:color w:val="000000"/>
                <w:shd w:val="clear" w:color="auto" w:fill="D9E2F3" w:themeFill="accent1" w:themeFillTint="33"/>
                <w:lang w:val="fr-FR"/>
              </w:rPr>
              <w:t>ARTIGOS</w:t>
            </w:r>
          </w:p>
          <w:p w14:paraId="138318A8" w14:textId="7DDFC8B5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BELINGARD, L., BOISSEAU M., SANCONIE, M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.</w:t>
            </w:r>
            <w:r w:rsidRPr="0027181B">
              <w:rPr>
                <w:rStyle w:val="petitecap"/>
                <w:rFonts w:asciiTheme="minorHAnsi" w:hAnsiTheme="minorHAnsi" w:cstheme="minorHAnsi"/>
                <w:smallCaps/>
                <w:sz w:val="22"/>
                <w:szCs w:val="22"/>
                <w:shd w:val="clear" w:color="auto" w:fill="D9E2F3" w:themeFill="accent1" w:themeFillTint="33"/>
                <w:lang w:val="fr-FR"/>
              </w:rPr>
              <w:t> (2017). «</w:t>
            </w:r>
            <w:r w:rsidR="0027181B">
              <w:rPr>
                <w:rStyle w:val="petitecap"/>
                <w:rFonts w:asciiTheme="minorHAnsi" w:hAnsiTheme="minorHAnsi" w:cstheme="minorHAnsi"/>
                <w:smallCaps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Traduire, créer</w:t>
            </w:r>
            <w:r w:rsidR="002718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».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Meta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volume 62, 3, p.489-500.</w:t>
            </w:r>
          </w:p>
          <w:p w14:paraId="275594D6" w14:textId="77777777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CASSIN. B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 (2016). « La traduction comme </w:t>
            </w:r>
            <w:proofErr w:type="spellStart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oeuvre</w:t>
            </w:r>
            <w:proofErr w:type="spellEnd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d’art ».</w:t>
            </w:r>
            <w:r w:rsidRPr="0027181B">
              <w:rPr>
                <w:rStyle w:val="nfase"/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 In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 B. CASSIN (</w:t>
            </w:r>
            <w:proofErr w:type="spellStart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dir</w:t>
            </w:r>
            <w:proofErr w:type="spellEnd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.), </w:t>
            </w:r>
            <w:r w:rsidRPr="0027181B">
              <w:rPr>
                <w:rStyle w:val="nfase"/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Après Babel, traduire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 xml:space="preserve">. Marseille/Arles : </w:t>
            </w:r>
            <w:proofErr w:type="spellStart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Mucem</w:t>
            </w:r>
            <w:proofErr w:type="spellEnd"/>
            <w:r w:rsidRPr="0027181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fr-FR"/>
              </w:rPr>
              <w:t>/Actes Sud, 243-250.</w:t>
            </w:r>
          </w:p>
          <w:p w14:paraId="193BAB3D" w14:textId="69C29350" w:rsidR="00396752" w:rsidRPr="00396752" w:rsidRDefault="00396752" w:rsidP="003967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CHEVREL. Y. (2006). « La lecture des œuvres littéraires en traduction : quelques propositions ». </w:t>
            </w:r>
            <w:hyperlink r:id="rId8" w:history="1">
              <w:r w:rsidRPr="0027181B">
                <w:rPr>
                  <w:rStyle w:val="Hiperligao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  <w:lang w:val="fr-FR"/>
                </w:rPr>
                <w:t>L'information littéraire</w:t>
              </w:r>
            </w:hyperlink>
            <w:r w:rsidR="0027181B">
              <w:rPr>
                <w:rStyle w:val="Hiperligao"/>
                <w:rFonts w:asciiTheme="minorHAnsi" w:hAnsiTheme="minorHAnsi" w:cstheme="minorHAnsi"/>
                <w:iCs/>
                <w:color w:val="auto"/>
                <w:sz w:val="22"/>
                <w:szCs w:val="22"/>
                <w:u w:val="none"/>
                <w:lang w:val="fr-FR"/>
              </w:rPr>
              <w:t>,</w:t>
            </w:r>
            <w:r w:rsidRPr="0027181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2718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ol. 58, p. 50-57.</w:t>
            </w:r>
          </w:p>
          <w:p w14:paraId="2125004E" w14:textId="2C484A83" w:rsidR="00396752" w:rsidRPr="00D950DE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LAROSE, R. (1998). « Méthodologie de l’évaluation des traductions ». </w:t>
            </w:r>
            <w:r w:rsidRPr="00D950D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t-PT"/>
              </w:rPr>
              <w:t>Meta</w:t>
            </w:r>
            <w:r w:rsidRPr="00D950D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, XLIII, 2. </w:t>
            </w:r>
          </w:p>
          <w:p w14:paraId="6C5F539C" w14:textId="58D53471" w:rsidR="0027181B" w:rsidRPr="00D950DE" w:rsidRDefault="0027181B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MARTINS, M. A. P. (2006): 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Novos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desafios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formação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tradutores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Cadernos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, v. XVII, p. 24-44.</w:t>
            </w:r>
          </w:p>
          <w:p w14:paraId="6A08E5BF" w14:textId="15F45FFA" w:rsidR="00396752" w:rsidRPr="00396752" w:rsidRDefault="00396752" w:rsidP="002718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950DE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OSEKI-DÉPRÉ, I. </w:t>
            </w:r>
            <w:r w:rsidRPr="00D950DE">
              <w:rPr>
                <w:rFonts w:asciiTheme="minorHAnsi" w:hAnsiTheme="minorHAnsi" w:cstheme="minorHAnsi"/>
                <w:i/>
                <w:sz w:val="22"/>
                <w:szCs w:val="22"/>
                <w:lang w:val="fr-BE"/>
              </w:rPr>
              <w:t>et al</w:t>
            </w:r>
            <w:r w:rsidRPr="00D950DE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. 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(2003). « </w:t>
            </w:r>
            <w:r w:rsidRPr="00396752">
              <w:rPr>
                <w:rFonts w:asciiTheme="minorHAnsi" w:eastAsia="DejaVuSerif" w:hAnsiTheme="minorHAnsi" w:cstheme="minorHAnsi"/>
                <w:sz w:val="22"/>
                <w:szCs w:val="22"/>
                <w:lang w:val="fr-FR"/>
              </w:rPr>
              <w:t xml:space="preserve">Théories et pratiques de la traduction littéraire en France ». </w:t>
            </w:r>
            <w:r w:rsidRPr="00396752">
              <w:rPr>
                <w:rFonts w:asciiTheme="minorHAnsi" w:eastAsia="DejaVuSerif" w:hAnsiTheme="minorHAnsi" w:cstheme="minorHAnsi"/>
                <w:i/>
                <w:iCs/>
                <w:sz w:val="22"/>
                <w:szCs w:val="22"/>
                <w:lang w:val="fr-FR"/>
              </w:rPr>
              <w:t>Le français aujourd'hui</w:t>
            </w:r>
            <w:r w:rsidR="0027181B">
              <w:rPr>
                <w:rFonts w:asciiTheme="minorHAnsi" w:eastAsia="DejaVuSerif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396752">
              <w:rPr>
                <w:rFonts w:asciiTheme="minorHAnsi" w:eastAsia="DejaVuSerif" w:hAnsiTheme="minorHAnsi" w:cstheme="minorHAnsi"/>
                <w:sz w:val="22"/>
                <w:szCs w:val="22"/>
                <w:lang w:val="fr-FR"/>
              </w:rPr>
              <w:t xml:space="preserve">n° 142, p. 5 à 17. </w:t>
            </w:r>
          </w:p>
          <w:p w14:paraId="7262CEF0" w14:textId="106C52C6" w:rsidR="00396752" w:rsidRPr="00396752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PECMAN, M. (2005). « De la phraséologie à la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traductologie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proactive : essai de synthèse des fondements théoriques sous-tendant la recherche en phraséologie ». 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Meta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v. 50</w:t>
            </w:r>
            <w:r w:rsidR="002718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nº 4. </w:t>
            </w:r>
          </w:p>
          <w:p w14:paraId="53A9C55F" w14:textId="4B17D207" w:rsidR="00396752" w:rsidRPr="00D950DE" w:rsidRDefault="00396752" w:rsidP="003967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WOODSWORTH, J. (1988). « Traducteurs et écrivains : vers une redéfinition de la traduction littéraire ». </w:t>
            </w:r>
            <w:proofErr w:type="gram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TTR :</w:t>
            </w:r>
            <w:proofErr w:type="gram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traduction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terminologie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rédaction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, 1 (1), 115–125. https://doi.org/10.7202/037008ar</w:t>
            </w:r>
          </w:p>
          <w:p w14:paraId="171A886A" w14:textId="3305B4D7" w:rsidR="003E5087" w:rsidRPr="0027181B" w:rsidRDefault="00396752" w:rsidP="0039675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fr-FR"/>
              </w:rPr>
            </w:pPr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XAVIER, H. (2006) «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Notas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Tradução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Literária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Portugal: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Sua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Evolução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>Quadro</w:t>
            </w:r>
            <w:proofErr w:type="spellEnd"/>
            <w:r w:rsidRPr="00396752">
              <w:rPr>
                <w:rFonts w:asciiTheme="minorHAnsi" w:hAnsiTheme="minorHAnsi" w:cstheme="minorHAnsi"/>
                <w:sz w:val="22"/>
                <w:szCs w:val="22"/>
              </w:rPr>
              <w:t xml:space="preserve"> Actual</w:t>
            </w:r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».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Babilonia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nº 4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Mestiçagem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Linguística</w:t>
            </w:r>
            <w:proofErr w:type="spellEnd"/>
            <w:r w:rsidRPr="003967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Cultural, p. 85-90.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609C9A74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bookmarkEnd w:id="1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C266" w14:textId="77777777" w:rsidR="00B25123" w:rsidRDefault="00B25123" w:rsidP="004E203C">
      <w:r>
        <w:separator/>
      </w:r>
    </w:p>
  </w:endnote>
  <w:endnote w:type="continuationSeparator" w:id="0">
    <w:p w14:paraId="1EEA3EB7" w14:textId="77777777" w:rsidR="00B25123" w:rsidRDefault="00B25123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19424D8E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D950DE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D950DE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6B89A03C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D950DE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D950DE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56C" w14:textId="77777777" w:rsidR="00B25123" w:rsidRDefault="00B25123" w:rsidP="004E203C">
      <w:r>
        <w:separator/>
      </w:r>
    </w:p>
  </w:footnote>
  <w:footnote w:type="continuationSeparator" w:id="0">
    <w:p w14:paraId="44490609" w14:textId="77777777" w:rsidR="00B25123" w:rsidRDefault="00B25123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3F88"/>
    <w:multiLevelType w:val="hybridMultilevel"/>
    <w:tmpl w:val="1EC4C396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704FF2"/>
    <w:multiLevelType w:val="hybridMultilevel"/>
    <w:tmpl w:val="9638667A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4A47"/>
    <w:multiLevelType w:val="hybridMultilevel"/>
    <w:tmpl w:val="75D84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CB3"/>
    <w:multiLevelType w:val="hybridMultilevel"/>
    <w:tmpl w:val="A816CA5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6BE1"/>
    <w:multiLevelType w:val="hybridMultilevel"/>
    <w:tmpl w:val="9CE47A1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F5187"/>
    <w:multiLevelType w:val="hybridMultilevel"/>
    <w:tmpl w:val="CEB6D32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70F6"/>
    <w:multiLevelType w:val="hybridMultilevel"/>
    <w:tmpl w:val="19F8C1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7819"/>
    <w:multiLevelType w:val="hybridMultilevel"/>
    <w:tmpl w:val="531E29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12A90"/>
    <w:multiLevelType w:val="hybridMultilevel"/>
    <w:tmpl w:val="42FC367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95CF8"/>
    <w:multiLevelType w:val="hybridMultilevel"/>
    <w:tmpl w:val="D6702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47834"/>
    <w:rsid w:val="001D03F1"/>
    <w:rsid w:val="001E075F"/>
    <w:rsid w:val="001F4FE2"/>
    <w:rsid w:val="0020237B"/>
    <w:rsid w:val="002037C8"/>
    <w:rsid w:val="002259D8"/>
    <w:rsid w:val="00234BA0"/>
    <w:rsid w:val="00247A4C"/>
    <w:rsid w:val="002554AC"/>
    <w:rsid w:val="0027181B"/>
    <w:rsid w:val="00271F7F"/>
    <w:rsid w:val="00396752"/>
    <w:rsid w:val="003E5087"/>
    <w:rsid w:val="004372C1"/>
    <w:rsid w:val="004D38D6"/>
    <w:rsid w:val="004E203C"/>
    <w:rsid w:val="00565644"/>
    <w:rsid w:val="00577611"/>
    <w:rsid w:val="005B4992"/>
    <w:rsid w:val="006608B5"/>
    <w:rsid w:val="006C3D17"/>
    <w:rsid w:val="006E4AC1"/>
    <w:rsid w:val="006E56A9"/>
    <w:rsid w:val="00703F0C"/>
    <w:rsid w:val="00763F62"/>
    <w:rsid w:val="00794B57"/>
    <w:rsid w:val="007A2849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503C6"/>
    <w:rsid w:val="00D63A49"/>
    <w:rsid w:val="00D7556C"/>
    <w:rsid w:val="00D950DE"/>
    <w:rsid w:val="00DA5313"/>
    <w:rsid w:val="00DE6F74"/>
    <w:rsid w:val="00E82C58"/>
    <w:rsid w:val="00F56A7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47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styleId="Hiperligao">
    <w:name w:val="Hyperlink"/>
    <w:rsid w:val="00F56A70"/>
    <w:rPr>
      <w:color w:val="CC0000"/>
      <w:u w:val="single"/>
    </w:rPr>
  </w:style>
  <w:style w:type="paragraph" w:customStyle="1" w:styleId="Default">
    <w:name w:val="Default"/>
    <w:rsid w:val="00F56A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PT"/>
    </w:rPr>
  </w:style>
  <w:style w:type="character" w:customStyle="1" w:styleId="petitecap">
    <w:name w:val="petitecap"/>
    <w:basedOn w:val="Tipodeletrapredefinidodopargrafo"/>
    <w:rsid w:val="00396752"/>
  </w:style>
  <w:style w:type="character" w:styleId="Forte">
    <w:name w:val="Strong"/>
    <w:basedOn w:val="Tipodeletrapredefinidodopargrafo"/>
    <w:uiPriority w:val="22"/>
    <w:qFormat/>
    <w:rsid w:val="00396752"/>
    <w:rPr>
      <w:b/>
      <w:bCs/>
    </w:rPr>
  </w:style>
  <w:style w:type="character" w:styleId="nfase">
    <w:name w:val="Emphasis"/>
    <w:basedOn w:val="Tipodeletrapredefinidodopargrafo"/>
    <w:uiPriority w:val="20"/>
    <w:qFormat/>
    <w:rsid w:val="00396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l-information-litterair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6E1646-4866-480C-9A1D-EF97DCA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Maria Helena Marques Antunes</cp:lastModifiedBy>
  <cp:revision>2</cp:revision>
  <dcterms:created xsi:type="dcterms:W3CDTF">2022-09-05T15:36:00Z</dcterms:created>
  <dcterms:modified xsi:type="dcterms:W3CDTF">2022-09-05T15:36:00Z</dcterms:modified>
</cp:coreProperties>
</file>